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48380" w14:textId="46D3B423" w:rsidR="00804DE1" w:rsidRPr="00804DE1" w:rsidRDefault="009F3E09">
      <w:pPr>
        <w:rPr>
          <w:b/>
          <w:sz w:val="40"/>
        </w:rPr>
      </w:pPr>
      <w:r>
        <w:rPr>
          <w:b/>
          <w:sz w:val="40"/>
        </w:rPr>
        <w:t>Reilu peli sukupolvien välille</w:t>
      </w:r>
    </w:p>
    <w:p w14:paraId="1D3C4D0D" w14:textId="2E07E3CC" w:rsidR="00804DE1" w:rsidRPr="00804DE1" w:rsidRDefault="009F3E09">
      <w:pPr>
        <w:rPr>
          <w:b/>
        </w:rPr>
      </w:pPr>
      <w:r>
        <w:rPr>
          <w:b/>
        </w:rPr>
        <w:t>Työelämässä olevan</w:t>
      </w:r>
      <w:r w:rsidR="00E61BCD" w:rsidRPr="00804DE1">
        <w:rPr>
          <w:b/>
        </w:rPr>
        <w:t xml:space="preserve"> palkkaa tarkis</w:t>
      </w:r>
      <w:r w:rsidR="004D2E1D">
        <w:rPr>
          <w:b/>
        </w:rPr>
        <w:t xml:space="preserve">tetaan </w:t>
      </w:r>
      <w:r>
        <w:rPr>
          <w:b/>
        </w:rPr>
        <w:t xml:space="preserve">liittojen välisin yhteisin </w:t>
      </w:r>
      <w:r w:rsidR="00E61BCD" w:rsidRPr="00804DE1">
        <w:rPr>
          <w:b/>
        </w:rPr>
        <w:t>sopimuksin, työpaikoilla ja henkilökohtaisin neuvotteluin.</w:t>
      </w:r>
      <w:r>
        <w:rPr>
          <w:b/>
        </w:rPr>
        <w:t xml:space="preserve"> Eläkeläiselle ”palkankorotus</w:t>
      </w:r>
      <w:r w:rsidR="00FB014D" w:rsidRPr="00804DE1">
        <w:rPr>
          <w:b/>
        </w:rPr>
        <w:t xml:space="preserve">” </w:t>
      </w:r>
      <w:r>
        <w:rPr>
          <w:b/>
        </w:rPr>
        <w:t>tulee</w:t>
      </w:r>
      <w:r w:rsidR="00E61BCD" w:rsidRPr="00804DE1">
        <w:rPr>
          <w:b/>
        </w:rPr>
        <w:t xml:space="preserve"> työ</w:t>
      </w:r>
      <w:r w:rsidR="00D44746" w:rsidRPr="00804DE1">
        <w:rPr>
          <w:b/>
        </w:rPr>
        <w:t xml:space="preserve">eläkejärjestelmän kautta. </w:t>
      </w:r>
      <w:r w:rsidR="004D2E1D">
        <w:rPr>
          <w:b/>
        </w:rPr>
        <w:t xml:space="preserve">Vaikuttava tekijä on työeläkeindeksi. Sen avulla rakennetaan reilua peliä eri sukupolvien välille. </w:t>
      </w:r>
    </w:p>
    <w:p w14:paraId="783429E4" w14:textId="51889483" w:rsidR="00E24100" w:rsidRDefault="00804DE1">
      <w:r>
        <w:t>Työeläkeindeksin</w:t>
      </w:r>
      <w:r w:rsidR="00627419">
        <w:t xml:space="preserve"> tarkoituksena on suojata maksussa olevia eläkkeitä rahan arvon heikkenemiseltä ja pitää yllä eläkeläis</w:t>
      </w:r>
      <w:r w:rsidR="004B3F98">
        <w:t>t</w:t>
      </w:r>
      <w:r w:rsidR="00627419">
        <w:t xml:space="preserve">en ostovoimaa. </w:t>
      </w:r>
      <w:r w:rsidR="005F4A64">
        <w:t>Työeläkkeiden korotukset määräytyvät sen mukaan, miten hinnat ja palkat ovat edellisenä vuonna kehittyneet. Hinnat painavat näissä indeksitarkistuksissa palkkoja huomattavasti enemmän</w:t>
      </w:r>
      <w:r w:rsidR="00E61BCD">
        <w:t xml:space="preserve">: 80 prosenttia määräytyy hinnoista, 20 prosenttia ansioiden kehityksen mukaan. Järjestelmä on toiminut näin vuodesta </w:t>
      </w:r>
      <w:r w:rsidR="00FB014D">
        <w:t>2005</w:t>
      </w:r>
      <w:r w:rsidR="00E61BCD">
        <w:t>.</w:t>
      </w:r>
      <w:r w:rsidR="00FB014D">
        <w:t xml:space="preserve"> </w:t>
      </w:r>
    </w:p>
    <w:p w14:paraId="1CB10DA4" w14:textId="5506F14E" w:rsidR="00627419" w:rsidRDefault="008D5CD0">
      <w:proofErr w:type="gramStart"/>
      <w:r>
        <w:t>Viime aikoina on käyty paljon</w:t>
      </w:r>
      <w:bookmarkStart w:id="0" w:name="_GoBack"/>
      <w:bookmarkEnd w:id="0"/>
      <w:r>
        <w:t xml:space="preserve"> keskustelua siitä</w:t>
      </w:r>
      <w:r w:rsidR="0085786A">
        <w:t xml:space="preserve">, että indeksiä muutettaisiin toisenlaiseksi ─ </w:t>
      </w:r>
      <w:r w:rsidR="00627419">
        <w:t>palkkojen kehitys määräisi kokon</w:t>
      </w:r>
      <w:r w:rsidR="004B3F98">
        <w:t>aan työeläkeindeksin kehityksen.</w:t>
      </w:r>
      <w:proofErr w:type="gramEnd"/>
      <w:r w:rsidR="00627419">
        <w:t xml:space="preserve"> </w:t>
      </w:r>
      <w:r w:rsidR="004B3F98">
        <w:t>Mitä</w:t>
      </w:r>
      <w:r w:rsidR="00D44746">
        <w:t xml:space="preserve"> tästä</w:t>
      </w:r>
      <w:r w:rsidR="004B3F98">
        <w:t xml:space="preserve"> seuraisi?</w:t>
      </w:r>
    </w:p>
    <w:p w14:paraId="542F6DAD" w14:textId="2042BA62" w:rsidR="0085786A" w:rsidRDefault="0085786A" w:rsidP="0085786A">
      <w:r>
        <w:t xml:space="preserve">”Muutaman kymmenen vuoden kuluttua huomattaisiin, että olemme ajamassa päin seinää”, sanoo Työeläkevakuuttajat Telan </w:t>
      </w:r>
      <w:r w:rsidR="00A327D9">
        <w:t>johtav</w:t>
      </w:r>
      <w:r>
        <w:t>a</w:t>
      </w:r>
      <w:r w:rsidR="00A327D9">
        <w:t xml:space="preserve"> ekonomisti</w:t>
      </w:r>
      <w:r>
        <w:t xml:space="preserve"> </w:t>
      </w:r>
      <w:r w:rsidRPr="00D71032">
        <w:rPr>
          <w:b/>
        </w:rPr>
        <w:t>Reijo Vanne</w:t>
      </w:r>
      <w:r>
        <w:t xml:space="preserve">. </w:t>
      </w:r>
    </w:p>
    <w:p w14:paraId="41C89CDA" w14:textId="1783E7C3" w:rsidR="004B3F98" w:rsidRDefault="00364C2F">
      <w:r>
        <w:t>Vanne nojaa</w:t>
      </w:r>
      <w:r w:rsidR="0085786A">
        <w:t xml:space="preserve"> Eläketurvakeskuksen (ETK) sekä</w:t>
      </w:r>
      <w:r w:rsidR="004B3F98">
        <w:t xml:space="preserve"> sosiaali- ja terveysministeriö</w:t>
      </w:r>
      <w:r w:rsidR="0085786A">
        <w:t>n laskelmiin. Molemmat ovat arvioineet</w:t>
      </w:r>
      <w:r w:rsidR="00074787">
        <w:t xml:space="preserve"> sitä, mitä työeläkejärjestelmälle ja sen rahoitukselle tapahtuisi, jos työeläkeindeksin laskentaa muutettaisiin puhtaaksi palkkaindeksiksi. </w:t>
      </w:r>
      <w:r w:rsidR="004B3F98">
        <w:t>M</w:t>
      </w:r>
      <w:r w:rsidR="00627419">
        <w:t>uutoksella olisi kaksi suurta vaiku</w:t>
      </w:r>
      <w:r w:rsidR="004B3F98">
        <w:t>tusta.</w:t>
      </w:r>
      <w:r w:rsidR="0085786A">
        <w:t xml:space="preserve"> </w:t>
      </w:r>
      <w:r w:rsidR="004B3F98">
        <w:t>M</w:t>
      </w:r>
      <w:r w:rsidR="00627419">
        <w:t>uutaman vuosikymmenen kuluttua työeläkemaksuja pitäisi joko korottaa roimasti tai eläkkeitä</w:t>
      </w:r>
      <w:r w:rsidR="004B3F98">
        <w:t xml:space="preserve"> vastaavasti</w:t>
      </w:r>
      <w:r w:rsidR="00627419">
        <w:t xml:space="preserve"> pienentää</w:t>
      </w:r>
      <w:r w:rsidR="004B3F98">
        <w:t>. M</w:t>
      </w:r>
      <w:r w:rsidR="00627419">
        <w:t>uuten eläkerahat loppuisivat</w:t>
      </w:r>
      <w:r w:rsidR="00D44746">
        <w:t xml:space="preserve"> </w:t>
      </w:r>
      <w:r w:rsidR="0085786A">
        <w:t>jossain vaiheessa.</w:t>
      </w:r>
    </w:p>
    <w:p w14:paraId="49DF651A" w14:textId="0793A82D" w:rsidR="00E24100" w:rsidRDefault="0085786A">
      <w:r>
        <w:t>”</w:t>
      </w:r>
      <w:r w:rsidR="004B3F98">
        <w:t>Jos moinen muutos tehtäisiin lähivuosina, k</w:t>
      </w:r>
      <w:r w:rsidR="00627419">
        <w:t>äytännössä nykyeläkeläisten ja</w:t>
      </w:r>
      <w:r>
        <w:t xml:space="preserve"> nyt</w:t>
      </w:r>
      <w:r w:rsidR="004B3F98">
        <w:t xml:space="preserve"> </w:t>
      </w:r>
      <w:r w:rsidR="00627419">
        <w:t>lähellä eläkeikää olevien lastenlapset ja sitä seuraavat sukupolvet</w:t>
      </w:r>
      <w:r w:rsidR="004B3F98">
        <w:t xml:space="preserve"> tuntisivat</w:t>
      </w:r>
      <w:r w:rsidR="00627419">
        <w:t xml:space="preserve"> tämän suoraan omissa tuloissaa</w:t>
      </w:r>
      <w:r>
        <w:t>n.”</w:t>
      </w:r>
    </w:p>
    <w:p w14:paraId="084356A2" w14:textId="22267FE0" w:rsidR="00832858" w:rsidRPr="005E4E92" w:rsidRDefault="005E4E92">
      <w:pPr>
        <w:rPr>
          <w:b/>
        </w:rPr>
      </w:pPr>
      <w:r w:rsidRPr="005E4E92">
        <w:rPr>
          <w:b/>
        </w:rPr>
        <w:t xml:space="preserve">Eläkeuudistus perustuu </w:t>
      </w:r>
      <w:r>
        <w:rPr>
          <w:b/>
        </w:rPr>
        <w:t xml:space="preserve">laskelmaan </w:t>
      </w:r>
      <w:r w:rsidRPr="005E4E92">
        <w:rPr>
          <w:b/>
        </w:rPr>
        <w:t>tasapaino</w:t>
      </w:r>
      <w:r>
        <w:rPr>
          <w:b/>
        </w:rPr>
        <w:t>sta</w:t>
      </w:r>
    </w:p>
    <w:p w14:paraId="480F60D6" w14:textId="4F77D34F" w:rsidR="00627419" w:rsidRDefault="00364C2F">
      <w:r>
        <w:t xml:space="preserve">Reijo </w:t>
      </w:r>
      <w:r w:rsidR="001F6FC9">
        <w:t xml:space="preserve">Vanne käy </w:t>
      </w:r>
      <w:r w:rsidR="00D44746">
        <w:t>läpi taustalla olevaa</w:t>
      </w:r>
      <w:r w:rsidR="000345DC">
        <w:t xml:space="preserve"> logiikkaa. </w:t>
      </w:r>
    </w:p>
    <w:p w14:paraId="67262E84" w14:textId="56AAD34E" w:rsidR="00364C2F" w:rsidRDefault="00A327D9">
      <w:r>
        <w:t>Runsas vuosi sitten sovittiin eläkeuudistuksesta</w:t>
      </w:r>
      <w:r w:rsidR="001D1E8A">
        <w:t xml:space="preserve">, joka tulee voimaan 2017 alusta. Sen avulla </w:t>
      </w:r>
      <w:r w:rsidR="001F6FC9">
        <w:t>työ</w:t>
      </w:r>
      <w:r w:rsidR="00D44746">
        <w:t>eläkemaksut saadaan pidetyksi</w:t>
      </w:r>
      <w:r>
        <w:t xml:space="preserve"> yksityisaloilla</w:t>
      </w:r>
      <w:r w:rsidR="001D1E8A">
        <w:t xml:space="preserve"> nykytasolla,</w:t>
      </w:r>
      <w:r w:rsidR="0063575D">
        <w:t xml:space="preserve"> noin</w:t>
      </w:r>
      <w:r w:rsidR="001D1E8A">
        <w:t xml:space="preserve"> 24 prosentissa.</w:t>
      </w:r>
      <w:r w:rsidR="00D44746">
        <w:t xml:space="preserve"> Suuria k</w:t>
      </w:r>
      <w:r w:rsidR="001D1E8A">
        <w:t xml:space="preserve">orotuspaineita ei ole näkyvissä pitkällä tulevaisuudessakaan. </w:t>
      </w:r>
    </w:p>
    <w:p w14:paraId="6FBBA2E2" w14:textId="7EA73258" w:rsidR="000345DC" w:rsidRDefault="00745CAB">
      <w:r>
        <w:t>Tämä tasapainol</w:t>
      </w:r>
      <w:r w:rsidR="001D1E8A">
        <w:t>askelma perustuu siihen, että</w:t>
      </w:r>
      <w:r>
        <w:t xml:space="preserve"> </w:t>
      </w:r>
      <w:r w:rsidR="001D1E8A">
        <w:t xml:space="preserve">eläkerahastojen tuottoja </w:t>
      </w:r>
      <w:r w:rsidR="00A327D9">
        <w:t>olisi aina käytettävissä</w:t>
      </w:r>
      <w:r w:rsidR="001D1E8A">
        <w:t xml:space="preserve"> </w:t>
      </w:r>
      <w:r>
        <w:t>työ</w:t>
      </w:r>
      <w:r w:rsidR="001D1E8A">
        <w:t>eläkkeiden maksamiseen.</w:t>
      </w:r>
      <w:r w:rsidR="0063575D">
        <w:t xml:space="preserve"> Rahastot ovat suuret, mutta niin ovat eläkemenotkin suhteessa palkkasummaan eli maksettuihin palkkoihin.</w:t>
      </w:r>
      <w:r w:rsidR="000345DC">
        <w:t xml:space="preserve"> Palkkasumma taas määrää, paljonko </w:t>
      </w:r>
      <w:r>
        <w:t>työ</w:t>
      </w:r>
      <w:r w:rsidR="000345DC">
        <w:t>eläkemaksuja tulee sis</w:t>
      </w:r>
      <w:r w:rsidR="00D44746">
        <w:t>ään järjestelmään</w:t>
      </w:r>
      <w:r>
        <w:t>. Ne ovat suoraan kytköksissä</w:t>
      </w:r>
      <w:r w:rsidR="00D44746">
        <w:t xml:space="preserve"> toisiinsa.</w:t>
      </w:r>
    </w:p>
    <w:p w14:paraId="5283BF02" w14:textId="53DAB4A3" w:rsidR="00745CAB" w:rsidRDefault="00A327D9">
      <w:r>
        <w:t>ETK:n mukaan vuonna 2015 TyEL</w:t>
      </w:r>
      <w:r w:rsidR="000345DC">
        <w:t>-maksutulo</w:t>
      </w:r>
      <w:r w:rsidR="00D44746">
        <w:t xml:space="preserve"> eli työeläkemaksuina palkansaajista ja yrityksiltä kerättävä rahasumma on noin</w:t>
      </w:r>
      <w:r w:rsidR="000345DC">
        <w:t xml:space="preserve"> 12,7 miljardia euroa.</w:t>
      </w:r>
      <w:r w:rsidR="00D44746">
        <w:t xml:space="preserve"> Samaan aikaa</w:t>
      </w:r>
      <w:r w:rsidR="00364C2F">
        <w:t>n</w:t>
      </w:r>
      <w:r w:rsidR="00D44746">
        <w:t xml:space="preserve"> työeläkkeit</w:t>
      </w:r>
      <w:r w:rsidR="00832858">
        <w:t>ä maksetaan noin</w:t>
      </w:r>
      <w:r w:rsidR="00745CAB">
        <w:t xml:space="preserve"> 13,</w:t>
      </w:r>
      <w:r w:rsidR="00D44746">
        <w:t xml:space="preserve">7 miljardin verran.  </w:t>
      </w:r>
      <w:r w:rsidR="00832858">
        <w:t xml:space="preserve">Ero on siis </w:t>
      </w:r>
      <w:r w:rsidR="000345DC">
        <w:t>miljardin</w:t>
      </w:r>
      <w:r w:rsidR="00D44746">
        <w:t xml:space="preserve">. </w:t>
      </w:r>
      <w:r w:rsidR="00832858">
        <w:t xml:space="preserve"> Tämä erotus katetaan </w:t>
      </w:r>
      <w:r w:rsidR="00745CAB">
        <w:t>työ</w:t>
      </w:r>
      <w:r w:rsidR="00832858">
        <w:t>eläkerahastojen sijoitustuotoista.</w:t>
      </w:r>
      <w:r w:rsidR="00D44746">
        <w:t xml:space="preserve"> Vuonna 2025 ero on </w:t>
      </w:r>
      <w:r w:rsidR="000345DC">
        <w:t>ETK:n laskelmien mukaan ero noin 3 miljardia.</w:t>
      </w:r>
      <w:r w:rsidR="00745CAB">
        <w:t xml:space="preserve"> </w:t>
      </w:r>
      <w:r>
        <w:t xml:space="preserve">Tämän lisäksi myös julkisten alojen työeläkkeitä rahoitetaan sijoitustoiminnalla. </w:t>
      </w:r>
    </w:p>
    <w:p w14:paraId="58752C52" w14:textId="40F9EEC0" w:rsidR="005E4E92" w:rsidRPr="005E4E92" w:rsidRDefault="005E4E92">
      <w:pPr>
        <w:rPr>
          <w:b/>
        </w:rPr>
      </w:pPr>
      <w:r w:rsidRPr="005E4E92">
        <w:rPr>
          <w:b/>
        </w:rPr>
        <w:t>Vaihtoehdot: syödä rahastoja tai korottaa maksuja</w:t>
      </w:r>
    </w:p>
    <w:p w14:paraId="5EF1526C" w14:textId="40CFB94B" w:rsidR="00832858" w:rsidRDefault="001D1E8A">
      <w:r>
        <w:t>Jos maksettavia eläkkeitä korotetaan nopeammin kuin eläkemaksuista kertyy rahaa, on</w:t>
      </w:r>
      <w:r w:rsidR="00832858">
        <w:t xml:space="preserve"> käytettävissä</w:t>
      </w:r>
      <w:r>
        <w:t xml:space="preserve"> pari vaihtoehtoa. Voidaan joko nostaa eläkemaksu</w:t>
      </w:r>
      <w:r w:rsidR="00832858">
        <w:t>ja tai syödä rahastoitujen varojen tuottoja</w:t>
      </w:r>
      <w:r w:rsidR="00A327D9">
        <w:t xml:space="preserve"> ja itse </w:t>
      </w:r>
      <w:proofErr w:type="gramStart"/>
      <w:r w:rsidR="00A327D9">
        <w:t xml:space="preserve">varoja </w:t>
      </w:r>
      <w:r>
        <w:t xml:space="preserve"> ajateltua</w:t>
      </w:r>
      <w:proofErr w:type="gramEnd"/>
      <w:r>
        <w:t xml:space="preserve"> enemmän. Tän</w:t>
      </w:r>
      <w:r w:rsidR="00832858">
        <w:t xml:space="preserve">äkin vuonna niitä ”syödään” tuon noin </w:t>
      </w:r>
      <w:r>
        <w:t xml:space="preserve">miljardin euron edestä. </w:t>
      </w:r>
      <w:r w:rsidR="00CF31B5">
        <w:t>Se ei vielä heilauta järjestelmää pois tasapainosta.</w:t>
      </w:r>
    </w:p>
    <w:p w14:paraId="765EA04B" w14:textId="38884969" w:rsidR="00CF31B5" w:rsidRDefault="00CF31B5">
      <w:r>
        <w:lastRenderedPageBreak/>
        <w:t>Jos</w:t>
      </w:r>
      <w:r w:rsidR="00832858">
        <w:t xml:space="preserve"> sen sijaan</w:t>
      </w:r>
      <w:r>
        <w:t xml:space="preserve"> eläkkeiden korottamiseen käytetään </w:t>
      </w:r>
      <w:r w:rsidR="005E4E92">
        <w:t>työ</w:t>
      </w:r>
      <w:r>
        <w:t xml:space="preserve">eläkerahastoja vuodesta ja vuosikymmenestä toiseen, eläkevarat alkavat kutistua suhteessa eläkemenoihin. Jossain vaiheessa rahastoista </w:t>
      </w:r>
      <w:r w:rsidR="001D1E8A">
        <w:t>loppuvat</w:t>
      </w:r>
      <w:r>
        <w:t xml:space="preserve"> rahat.</w:t>
      </w:r>
      <w:r w:rsidR="00832858">
        <w:t xml:space="preserve"> Siihen kylläkin kuluisi vuosikymmeniä. </w:t>
      </w:r>
      <w:r w:rsidR="00745CAB">
        <w:t xml:space="preserve">ETK:n laskelmien mukaan tilanne tulisi vastaan 2060-luvulla. </w:t>
      </w:r>
    </w:p>
    <w:p w14:paraId="72C49477" w14:textId="7DBBFFAE" w:rsidR="00364C2F" w:rsidRDefault="00832858">
      <w:r>
        <w:t xml:space="preserve">Kun rahastojen hupeneminen alkaisi </w:t>
      </w:r>
      <w:r w:rsidR="00745CAB">
        <w:t xml:space="preserve">jossain vaiheessa </w:t>
      </w:r>
      <w:r>
        <w:t>näyttää ilmeiseltä, olisi tehtävä</w:t>
      </w:r>
      <w:r w:rsidR="001D1E8A">
        <w:t xml:space="preserve"> äkkijyrkkiä ratkaisuja. Eläketurvakeskuksen laskelmien mukaan </w:t>
      </w:r>
      <w:r>
        <w:t xml:space="preserve">eläkemaksuja pitäisi </w:t>
      </w:r>
      <w:r w:rsidR="00C01DD2">
        <w:t>korotta</w:t>
      </w:r>
      <w:r w:rsidR="00CF31B5">
        <w:t xml:space="preserve">a reilusti yli 30 prosentin. </w:t>
      </w:r>
      <w:r w:rsidR="00745CAB">
        <w:t>2060-luvulla mentäisiin noin 35 prosenttiin, että eläkemenot ja</w:t>
      </w:r>
      <w:r w:rsidR="00A327D9">
        <w:t xml:space="preserve"> maksutulot</w:t>
      </w:r>
      <w:r w:rsidR="00745CAB">
        <w:t xml:space="preserve"> </w:t>
      </w:r>
      <w:r w:rsidR="005E4E92">
        <w:t>oli</w:t>
      </w:r>
      <w:r w:rsidR="00A327D9">
        <w:t>sivat tasapainossa, kun eläkevarat on käytetty ja työeläkkeitä korotetaan palkkaindeksin mukaan.</w:t>
      </w:r>
    </w:p>
    <w:p w14:paraId="3DB7860E" w14:textId="3EB654BB" w:rsidR="001D1E8A" w:rsidRDefault="00364C2F">
      <w:r>
        <w:t>”</w:t>
      </w:r>
      <w:r w:rsidR="00CF31B5">
        <w:t>Toki voitaisiin myös</w:t>
      </w:r>
      <w:r w:rsidR="00C01DD2">
        <w:t xml:space="preserve"> leikata eläkkeitä</w:t>
      </w:r>
      <w:r w:rsidR="00CF31B5">
        <w:t>, ehkä</w:t>
      </w:r>
      <w:r w:rsidR="00C01DD2">
        <w:t xml:space="preserve"> </w:t>
      </w:r>
      <w:r w:rsidR="00CF31B5">
        <w:t>jopa kolmanneksella, t</w:t>
      </w:r>
      <w:r w:rsidR="00C01DD2">
        <w:t xml:space="preserve">ai </w:t>
      </w:r>
      <w:r w:rsidR="00CF31B5">
        <w:t>yhdistellä näitä vaihtoehtoja</w:t>
      </w:r>
      <w:r>
        <w:t xml:space="preserve">. Lopputulos olisi joka tapauksessa tuntuva sekä maksajille että eläkeläisille”, Vanne arvioi. </w:t>
      </w:r>
      <w:r w:rsidR="00C01DD2">
        <w:t xml:space="preserve"> </w:t>
      </w:r>
    </w:p>
    <w:p w14:paraId="504A7B2F" w14:textId="7C243271" w:rsidR="005E4E92" w:rsidRPr="005E4E92" w:rsidRDefault="005E4E92">
      <w:pPr>
        <w:rPr>
          <w:b/>
        </w:rPr>
      </w:pPr>
      <w:r>
        <w:rPr>
          <w:b/>
        </w:rPr>
        <w:t>Kehnot kortit n</w:t>
      </w:r>
      <w:r w:rsidRPr="005E4E92">
        <w:rPr>
          <w:b/>
        </w:rPr>
        <w:t xml:space="preserve">ykyeläkeläisten lapsenlapsille </w:t>
      </w:r>
    </w:p>
    <w:p w14:paraId="05599750" w14:textId="22C3E590" w:rsidR="00D71032" w:rsidRDefault="00D71032">
      <w:r>
        <w:t>”Joskus 2060-luvulla oltaisiin seinää vasten. Nykyiset parikymppiset ovat silloin eläkeiän kynnyksellä</w:t>
      </w:r>
      <w:r w:rsidR="00832858">
        <w:t>, 65−70-vuotiaita</w:t>
      </w:r>
      <w:r>
        <w:t>.</w:t>
      </w:r>
      <w:r w:rsidR="00CF31B5">
        <w:t xml:space="preserve"> Olisi siis kyse heidän eläkkeistään</w:t>
      </w:r>
      <w:r>
        <w:t>. Maksuvuorossa olisivat esimerkiksi nykyiset vastasyntyneet ─ he olisivat</w:t>
      </w:r>
      <w:r w:rsidR="00CF31B5">
        <w:t xml:space="preserve"> tuolloin</w:t>
      </w:r>
      <w:r>
        <w:t xml:space="preserve"> viisissäkymmenissä – ja tietysti heitä nuoremmat”, Vanne piirtää kuvaa.</w:t>
      </w:r>
    </w:p>
    <w:p w14:paraId="1C420200" w14:textId="6A07529D" w:rsidR="00D71032" w:rsidRDefault="00A02E01">
      <w:r>
        <w:t>Ketkä sitten hyötyisivät, jos</w:t>
      </w:r>
      <w:r w:rsidR="00832858">
        <w:t xml:space="preserve"> työeläkeindeksin</w:t>
      </w:r>
      <w:r>
        <w:t xml:space="preserve"> laskentatapaa muutettaisiin? </w:t>
      </w:r>
      <w:r w:rsidR="00832858">
        <w:t xml:space="preserve"> </w:t>
      </w:r>
    </w:p>
    <w:p w14:paraId="52FB3DD3" w14:textId="481101CE" w:rsidR="00A02E01" w:rsidRDefault="00A02E01">
      <w:r>
        <w:t>”</w:t>
      </w:r>
      <w:r w:rsidR="003A6723">
        <w:t>N</w:t>
      </w:r>
      <w:r>
        <w:t xml:space="preserve">ykyeläkeläiset ja lähellä eläkeikää olevat. </w:t>
      </w:r>
      <w:r w:rsidR="00CF31B5">
        <w:t>H</w:t>
      </w:r>
      <w:r w:rsidR="003A6723">
        <w:t xml:space="preserve">e saisivat suurempaa eläkettä, mutta muut joutuisivat </w:t>
      </w:r>
      <w:r w:rsidR="00CF31B5">
        <w:t>kustantamaan</w:t>
      </w:r>
      <w:r w:rsidR="003A6723">
        <w:t xml:space="preserve"> sen. Varsinkin suurituloiset eläkeläiset hyötyisivä</w:t>
      </w:r>
      <w:r w:rsidR="00832858">
        <w:t>t. P</w:t>
      </w:r>
      <w:r w:rsidR="003A6723">
        <w:t>ienituloiset eivät</w:t>
      </w:r>
      <w:r w:rsidR="00CF31B5">
        <w:t xml:space="preserve"> niinkään</w:t>
      </w:r>
      <w:r w:rsidR="00832858">
        <w:t>, sillä h</w:t>
      </w:r>
      <w:r w:rsidR="003A6723">
        <w:t>e</w:t>
      </w:r>
      <w:r w:rsidR="00832858">
        <w:t>illä työeläkkeen osuus on pieni. P</w:t>
      </w:r>
      <w:r w:rsidR="003A6723">
        <w:t>rosenttikorotukset eivät sitä paljon nostaisi.”</w:t>
      </w:r>
    </w:p>
    <w:p w14:paraId="435CE659" w14:textId="1A28EF50" w:rsidR="00BF0E84" w:rsidRDefault="00715798">
      <w:r>
        <w:t>”</w:t>
      </w:r>
      <w:r w:rsidR="00832858">
        <w:t>Nykyeläkeläisillä olisi siinä tilanteessa kädessä varmat kortit. Niillä</w:t>
      </w:r>
      <w:r w:rsidR="00EF7F32">
        <w:t xml:space="preserve"> voi</w:t>
      </w:r>
      <w:r w:rsidR="00832858">
        <w:t>si</w:t>
      </w:r>
      <w:r w:rsidR="00EF7F32">
        <w:t xml:space="preserve"> vain voittaa</w:t>
      </w:r>
      <w:r>
        <w:t xml:space="preserve">. Mutta nuoremmille se olisi </w:t>
      </w:r>
      <w:r w:rsidR="00832858">
        <w:t>ilkeä</w:t>
      </w:r>
      <w:r>
        <w:t xml:space="preserve"> temppu.</w:t>
      </w:r>
      <w:r w:rsidR="00804DE1">
        <w:t xml:space="preserve"> </w:t>
      </w:r>
      <w:r w:rsidR="00FB5859">
        <w:t>Jos eläkkeellä olevien eläkkeisiin otettaisiin</w:t>
      </w:r>
      <w:r w:rsidR="00832858">
        <w:t xml:space="preserve"> järjestelmästä</w:t>
      </w:r>
      <w:r w:rsidR="00FB5859">
        <w:t xml:space="preserve"> lisää rahaa</w:t>
      </w:r>
      <w:r w:rsidR="003A4DE0">
        <w:t>, se tarkoittaisi, että nuorempien sukupolvien eläkejärjestelmään</w:t>
      </w:r>
      <w:r w:rsidR="00832858">
        <w:t xml:space="preserve"> jo</w:t>
      </w:r>
      <w:r w:rsidR="003A4DE0">
        <w:t xml:space="preserve"> säästämiä varoja käytettäisiin näihin eläkkeisiin.</w:t>
      </w:r>
    </w:p>
    <w:p w14:paraId="3BD9C592" w14:textId="24368A2D" w:rsidR="00EC4EAE" w:rsidRDefault="00832858">
      <w:r>
        <w:t>”Nuoremmille</w:t>
      </w:r>
      <w:r w:rsidR="00EC4EAE">
        <w:t xml:space="preserve"> käteen jäisivät kehnot kortit.”</w:t>
      </w:r>
    </w:p>
    <w:p w14:paraId="5B5FA9C7" w14:textId="70AD60ED" w:rsidR="00C103B0" w:rsidRDefault="00C103B0">
      <w:r>
        <w:t>Teksti: Riitta Gullman</w:t>
      </w:r>
    </w:p>
    <w:p w14:paraId="2F4B827F" w14:textId="77777777" w:rsidR="00C738DA" w:rsidRDefault="00C738DA"/>
    <w:p w14:paraId="6B86835E" w14:textId="1CB69835" w:rsidR="00BF0E84" w:rsidRDefault="008C65F1">
      <w:r>
        <w:t>(</w:t>
      </w:r>
      <w:r w:rsidRPr="0053030E">
        <w:rPr>
          <w:highlight w:val="yellow"/>
        </w:rPr>
        <w:t>kainalojuttu</w:t>
      </w:r>
      <w:r w:rsidR="00BF0E84">
        <w:t>)</w:t>
      </w:r>
    </w:p>
    <w:p w14:paraId="0D7710D7" w14:textId="3FD1EBDA" w:rsidR="008C65F1" w:rsidRPr="008C65F1" w:rsidRDefault="00BE7046">
      <w:pPr>
        <w:rPr>
          <w:sz w:val="28"/>
        </w:rPr>
      </w:pPr>
      <w:r>
        <w:rPr>
          <w:sz w:val="28"/>
        </w:rPr>
        <w:t xml:space="preserve">Joka sukupolvella on siivunsa työeläkevaroista </w:t>
      </w:r>
      <w:r w:rsidR="008C65F1">
        <w:rPr>
          <w:sz w:val="28"/>
        </w:rPr>
        <w:t xml:space="preserve"> </w:t>
      </w:r>
    </w:p>
    <w:p w14:paraId="4DBBDED4" w14:textId="05FC789A" w:rsidR="00253F6D" w:rsidRDefault="003F2CF7" w:rsidP="008C65F1">
      <w:r>
        <w:t>Työeläkkeet maksetaan rahoista, joita jokainen työssä käyvä ja työtä tarjoava yritys omalta osaltaan kerryttää yhteiseen pottiin.</w:t>
      </w:r>
      <w:r w:rsidR="00BE7046">
        <w:t xml:space="preserve"> Työeläkejärjestelmään tulee j</w:t>
      </w:r>
      <w:r>
        <w:t>oka kuukausi rahaa sisään</w:t>
      </w:r>
      <w:r w:rsidR="00BE7046">
        <w:t>,</w:t>
      </w:r>
      <w:r w:rsidR="0053030E">
        <w:t xml:space="preserve"> </w:t>
      </w:r>
      <w:r>
        <w:t>ja</w:t>
      </w:r>
      <w:r w:rsidR="0053030E">
        <w:t xml:space="preserve"> joka kuukausi</w:t>
      </w:r>
      <w:r>
        <w:t xml:space="preserve"> sitä maksetaan</w:t>
      </w:r>
      <w:r w:rsidR="00BE7046">
        <w:t xml:space="preserve"> siitä</w:t>
      </w:r>
      <w:r>
        <w:t xml:space="preserve"> ulos. Jokainen sukupolvi </w:t>
      </w:r>
      <w:r w:rsidR="008318B5">
        <w:t xml:space="preserve">ja yksittäinen työssä käyvä ihminen </w:t>
      </w:r>
      <w:r>
        <w:t xml:space="preserve">vuorollaan sekä maksaa </w:t>
      </w:r>
      <w:r w:rsidR="008318B5">
        <w:t>eläke</w:t>
      </w:r>
      <w:r>
        <w:t>pottiin että saa siitä</w:t>
      </w:r>
      <w:r w:rsidR="008318B5">
        <w:t xml:space="preserve"> </w:t>
      </w:r>
      <w:r w:rsidR="000345DC">
        <w:t>aikanaan</w:t>
      </w:r>
      <w:r w:rsidR="0053030E">
        <w:t xml:space="preserve"> itselleen</w:t>
      </w:r>
      <w:r w:rsidR="000345DC">
        <w:t xml:space="preserve"> </w:t>
      </w:r>
      <w:r w:rsidR="008318B5">
        <w:t>eläkettä</w:t>
      </w:r>
      <w:r>
        <w:t xml:space="preserve">. </w:t>
      </w:r>
      <w:r w:rsidR="00253F6D">
        <w:t>Jokaisella</w:t>
      </w:r>
      <w:r w:rsidR="00187B51">
        <w:t xml:space="preserve"> on siis</w:t>
      </w:r>
      <w:r w:rsidR="0053030E">
        <w:t xml:space="preserve"> </w:t>
      </w:r>
      <w:r w:rsidR="00253F6D">
        <w:t>siivuns</w:t>
      </w:r>
      <w:r w:rsidR="00A246F6">
        <w:t xml:space="preserve">a työeläkevaroista. </w:t>
      </w:r>
      <w:r w:rsidR="00253F6D">
        <w:t xml:space="preserve"> </w:t>
      </w:r>
    </w:p>
    <w:p w14:paraId="5A32507B" w14:textId="49779EA2" w:rsidR="000345DC" w:rsidRDefault="00253F6D" w:rsidP="008C65F1">
      <w:r>
        <w:t>Järjestelmä on r</w:t>
      </w:r>
      <w:r w:rsidR="00A246F6">
        <w:t>akennettu niin, että se on jota</w:t>
      </w:r>
      <w:r>
        <w:t>kuinkin tasapainossa.</w:t>
      </w:r>
      <w:r w:rsidR="00A327D9">
        <w:t xml:space="preserve"> Eläkerahastot eivät nykysäännöillä tyhjene, sillä niihin</w:t>
      </w:r>
      <w:r>
        <w:t xml:space="preserve"> tulee koko ajan lisää eläkesäästöjä työssäkäyviltä. </w:t>
      </w:r>
      <w:r w:rsidR="00A246F6">
        <w:t>Ne eivät kuitenkaan kata kaikkia maksettavia eläkkeitä</w:t>
      </w:r>
      <w:r w:rsidR="000345DC">
        <w:t xml:space="preserve">. Tähän on varauduttu 1960-luvulta, työeläkejärjestelmän alusta saakka. </w:t>
      </w:r>
    </w:p>
    <w:p w14:paraId="6F60E1E7" w14:textId="77777777" w:rsidR="00A327D9" w:rsidRDefault="000345DC" w:rsidP="008C65F1">
      <w:r>
        <w:t>O</w:t>
      </w:r>
      <w:r w:rsidR="00A246F6">
        <w:t>sa varoista</w:t>
      </w:r>
      <w:r w:rsidR="00A327D9">
        <w:t xml:space="preserve"> siis</w:t>
      </w:r>
      <w:r w:rsidR="00A246F6">
        <w:t xml:space="preserve"> rahastoidaan. Rahastoon päätyy noin yksi e</w:t>
      </w:r>
      <w:r w:rsidR="00A327D9">
        <w:t>uro kuudesta</w:t>
      </w:r>
      <w:r w:rsidR="00A246F6">
        <w:t xml:space="preserve">. Nämä varat </w:t>
      </w:r>
      <w:r w:rsidR="00A246F6" w:rsidRPr="008A159F">
        <w:t>työeläkevakuuttajat voivat sijoittaa</w:t>
      </w:r>
      <w:r w:rsidR="00A327D9">
        <w:t>. S</w:t>
      </w:r>
      <w:r w:rsidR="00A246F6">
        <w:t xml:space="preserve">ijoitusten tuotoilla kustannetaan se, mikä jää eläkemaksujen ja maksettavien eläkkeiden väliin.  </w:t>
      </w:r>
    </w:p>
    <w:p w14:paraId="0E63DAD8" w14:textId="641F5018" w:rsidR="003F2CF7" w:rsidRDefault="00A327D9" w:rsidP="008C65F1">
      <w:r>
        <w:t xml:space="preserve">Tuottojen ansiosta varat ovat eläkkeen maksuun tullessa kasvaneet niin, että maksuvaiheessa jo yksi neljästä eläke-eurosta voidaan saada rahastoista. </w:t>
      </w:r>
      <w:r w:rsidR="00845F11">
        <w:t>Vuonna 2015 eläk</w:t>
      </w:r>
      <w:r w:rsidR="00187B51">
        <w:t>keisiin otetaan rahastoista runsaat miljardi</w:t>
      </w:r>
      <w:r w:rsidR="00845F11">
        <w:t xml:space="preserve"> euroa enemmän kuin mitä työssä olevat säästävät omia eläkkeitään varten. </w:t>
      </w:r>
    </w:p>
    <w:p w14:paraId="5DE8B4E0" w14:textId="77777777" w:rsidR="00155F76" w:rsidRDefault="00155F76"/>
    <w:p w14:paraId="704A15B8" w14:textId="44C28A65" w:rsidR="00BF0E84" w:rsidRDefault="00155F76">
      <w:r>
        <w:t>(</w:t>
      </w:r>
      <w:r w:rsidR="007651B6">
        <w:rPr>
          <w:highlight w:val="yellow"/>
        </w:rPr>
        <w:t>kainalo2</w:t>
      </w:r>
      <w:r w:rsidRPr="00187B51">
        <w:rPr>
          <w:highlight w:val="yellow"/>
        </w:rPr>
        <w:t>)</w:t>
      </w:r>
    </w:p>
    <w:p w14:paraId="03776003" w14:textId="23F86676" w:rsidR="00155F76" w:rsidRDefault="00155F76">
      <w:pPr>
        <w:rPr>
          <w:sz w:val="28"/>
        </w:rPr>
      </w:pPr>
      <w:r w:rsidRPr="00155F76">
        <w:rPr>
          <w:sz w:val="28"/>
        </w:rPr>
        <w:t>Näin työeläkeindeksi toimii</w:t>
      </w:r>
    </w:p>
    <w:p w14:paraId="0B7F71B2" w14:textId="1356E044" w:rsidR="00A54687" w:rsidRDefault="00A54687">
      <w:r>
        <w:t xml:space="preserve">Kun ihminen jää eläkkeelle, hänen </w:t>
      </w:r>
      <w:r w:rsidR="00AE7170">
        <w:t>työ</w:t>
      </w:r>
      <w:r w:rsidR="008D5CD0">
        <w:t>eläkevakuuttajansa</w:t>
      </w:r>
      <w:r w:rsidR="00FE4116">
        <w:t xml:space="preserve"> </w:t>
      </w:r>
      <w:proofErr w:type="gramStart"/>
      <w:r w:rsidR="00FE4116">
        <w:t>tarkistaa</w:t>
      </w:r>
      <w:proofErr w:type="gramEnd"/>
      <w:r w:rsidR="00FE4116">
        <w:t xml:space="preserve"> työelämän</w:t>
      </w:r>
      <w:r>
        <w:t xml:space="preserve"> aikaiset palkat ja työtulot. Ne indeksoidaan eläkkeen alkamisvuoden tasoon </w:t>
      </w:r>
      <w:r w:rsidR="00FE4116">
        <w:t xml:space="preserve">ns. </w:t>
      </w:r>
      <w:r>
        <w:t>palkkakertoimen avulla. Tällä varmistetaan, että eläkkeelle siirtyvä saa</w:t>
      </w:r>
      <w:r w:rsidR="00AE7170">
        <w:t xml:space="preserve"> eläkkeen, joka perustuu hänen</w:t>
      </w:r>
      <w:r>
        <w:t xml:space="preserve"> työuransa ai</w:t>
      </w:r>
      <w:r w:rsidR="00AE7170">
        <w:t>kaisiin</w:t>
      </w:r>
      <w:r>
        <w:t xml:space="preserve"> tulo</w:t>
      </w:r>
      <w:r w:rsidR="00AE7170">
        <w:t>ihin</w:t>
      </w:r>
      <w:r>
        <w:t xml:space="preserve">. </w:t>
      </w:r>
    </w:p>
    <w:p w14:paraId="1C08F75D" w14:textId="5FDBE04D" w:rsidR="00A54687" w:rsidRDefault="00A54687">
      <w:r>
        <w:t>Eläkkeellä</w:t>
      </w:r>
      <w:r w:rsidR="00AE7170">
        <w:t xml:space="preserve"> ollessa</w:t>
      </w:r>
      <w:r>
        <w:t xml:space="preserve"> eläke</w:t>
      </w:r>
      <w:r w:rsidR="00FE4116">
        <w:t>ttä</w:t>
      </w:r>
      <w:r>
        <w:t xml:space="preserve"> tarkistetaan vuosittain tammikuun alussa työeläkeindeksillä avulla. Sillä suojataan maksussa olevia eläkkeitä rahan arvon heikkenemiseltä</w:t>
      </w:r>
      <w:r w:rsidR="00AE7170">
        <w:t xml:space="preserve"> ja pidetään yllä eläkeläisen ostovoimaa</w:t>
      </w:r>
      <w:r>
        <w:t>.</w:t>
      </w:r>
      <w:r w:rsidR="00AE7170">
        <w:t xml:space="preserve"> </w:t>
      </w:r>
      <w:r>
        <w:t xml:space="preserve">Esimerkiksi kahden prosentin vuotuinen inflaatio heikentäisi eläkkeen ostovoimaa 25 vuodessa 40 prosentilla. </w:t>
      </w:r>
    </w:p>
    <w:p w14:paraId="10882227" w14:textId="7CC08DF2" w:rsidR="00BA6556" w:rsidRDefault="00A327D9" w:rsidP="00AE7170">
      <w:r>
        <w:t xml:space="preserve">Työeläkeindeksin mukaiset euromääräiset tarkistukset riippuvat työeläkkeen suuruudesta. </w:t>
      </w:r>
      <w:r w:rsidR="00AE7170">
        <w:t xml:space="preserve">Jos henkilön </w:t>
      </w:r>
      <w:r w:rsidR="00FB32D2">
        <w:t>kokonais</w:t>
      </w:r>
      <w:r w:rsidR="00AE7170">
        <w:t xml:space="preserve">eläke on pieni, </w:t>
      </w:r>
      <w:r w:rsidR="00BA6556">
        <w:t xml:space="preserve">vain </w:t>
      </w:r>
      <w:r w:rsidR="00AE7170">
        <w:t>osa eläkkeestä on</w:t>
      </w:r>
      <w:r w:rsidR="00BA6556">
        <w:t xml:space="preserve"> työeläkettä</w:t>
      </w:r>
      <w:r w:rsidR="00FB32D2">
        <w:t>. O</w:t>
      </w:r>
      <w:r w:rsidR="00BA6556">
        <w:t>sa</w:t>
      </w:r>
      <w:r w:rsidR="00FB32D2">
        <w:t xml:space="preserve"> on</w:t>
      </w:r>
      <w:r w:rsidR="00AE7170">
        <w:t xml:space="preserve"> kansaneläk</w:t>
      </w:r>
      <w:r w:rsidR="00FE4116">
        <w:t>että</w:t>
      </w:r>
      <w:r w:rsidR="00AE7170">
        <w:t>.</w:t>
      </w:r>
      <w:r w:rsidR="00E24100">
        <w:t xml:space="preserve"> Silloin mahdolliset </w:t>
      </w:r>
      <w:r w:rsidR="00BA6556">
        <w:t xml:space="preserve">työeläkeindeksin </w:t>
      </w:r>
      <w:r w:rsidR="00E24100">
        <w:t xml:space="preserve">muutokset kohdistuvat ainoastaan </w:t>
      </w:r>
      <w:r w:rsidR="00BA6556">
        <w:t xml:space="preserve">työeläkkeen osuuteen. </w:t>
      </w:r>
    </w:p>
    <w:p w14:paraId="75C933AB" w14:textId="1CEA0C0F" w:rsidR="00AE7170" w:rsidRDefault="00AE7170" w:rsidP="00AE7170">
      <w:r>
        <w:t>Esimerkiksi 1000 € kuukaudessa eläkettä saavalla</w:t>
      </w:r>
      <w:r w:rsidR="00FE4116">
        <w:t xml:space="preserve"> työeläkkeen osuus on 670 €</w:t>
      </w:r>
      <w:r>
        <w:t xml:space="preserve"> </w:t>
      </w:r>
      <w:r w:rsidR="00FE4116">
        <w:t xml:space="preserve">ja </w:t>
      </w:r>
      <w:r>
        <w:t>kansanel</w:t>
      </w:r>
      <w:r w:rsidR="00FE4116">
        <w:t>äkkeen osuus</w:t>
      </w:r>
      <w:r>
        <w:t xml:space="preserve"> 33</w:t>
      </w:r>
      <w:r w:rsidR="00FE4116">
        <w:t>0 €</w:t>
      </w:r>
      <w:r>
        <w:t xml:space="preserve">. Jos työeläkkeeseen tulee jonain vuonna yhden prosentin korotus, tämä eläkeläinen saisi kuukaudessa ennen veroja vajaat 7 € lisää eläkettä (0,67 %). Jos eläkettä on 3000 € kuukaudessa, </w:t>
      </w:r>
      <w:r w:rsidR="002D05F6">
        <w:t xml:space="preserve">prosentin korotus toisi </w:t>
      </w:r>
      <w:r w:rsidR="00337852">
        <w:t xml:space="preserve">30 €. </w:t>
      </w:r>
    </w:p>
    <w:p w14:paraId="16E44E59" w14:textId="00D3E194" w:rsidR="00A54687" w:rsidRDefault="00A54687">
      <w:r>
        <w:t xml:space="preserve">80 prosenttia työeläkeindeksistä on sidottu kuluttajahintojen muutokseen, 20 prosenttia </w:t>
      </w:r>
      <w:r w:rsidR="00496086">
        <w:t xml:space="preserve">palkkojen muutokseen. </w:t>
      </w:r>
      <w:r w:rsidR="00FB32D2">
        <w:t>Sosiaali- ja terveysministeriö</w:t>
      </w:r>
      <w:r w:rsidR="00AE7170">
        <w:t xml:space="preserve"> vahvistaa</w:t>
      </w:r>
      <w:r w:rsidR="00496086">
        <w:t xml:space="preserve"> kunkin vuoden indeksin suuruuden. </w:t>
      </w:r>
    </w:p>
    <w:p w14:paraId="41DF8D60" w14:textId="5C26C3BF" w:rsidR="00155F76" w:rsidRDefault="00A54687">
      <w:r>
        <w:t>Lähteet: Eläketurvakeskus, STM, Tela</w:t>
      </w:r>
    </w:p>
    <w:p w14:paraId="75E7123A" w14:textId="3CB327DE" w:rsidR="002A23E8" w:rsidRDefault="002A23E8" w:rsidP="002A23E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fi-FI"/>
        </w:rPr>
      </w:pPr>
    </w:p>
    <w:p w14:paraId="1991385D" w14:textId="06205D2E" w:rsidR="00BF0E84" w:rsidRDefault="00BF0E84">
      <w:r>
        <w:t>(</w:t>
      </w:r>
      <w:r w:rsidRPr="00187B51">
        <w:rPr>
          <w:highlight w:val="yellow"/>
        </w:rPr>
        <w:t>faktalaatikko</w:t>
      </w:r>
      <w:r>
        <w:t>)</w:t>
      </w:r>
    </w:p>
    <w:p w14:paraId="637BF64C" w14:textId="0CB2E1C3" w:rsidR="00BF0E84" w:rsidRPr="00BF0E84" w:rsidRDefault="00830347">
      <w:pPr>
        <w:rPr>
          <w:b/>
          <w:sz w:val="28"/>
        </w:rPr>
      </w:pPr>
      <w:r>
        <w:rPr>
          <w:b/>
          <w:sz w:val="28"/>
        </w:rPr>
        <w:t>Indeksit ennen ja nyt</w:t>
      </w:r>
    </w:p>
    <w:p w14:paraId="4140FFF4" w14:textId="5C32A146" w:rsidR="00155F76" w:rsidRDefault="00155F76">
      <w:r>
        <w:t>1962</w:t>
      </w:r>
      <w:r>
        <w:br/>
        <w:t>Työeläkejärjestelmä voimaan. Käyttöön TEL-indeksi, jonka muutos määräytyi vain palkansaajien</w:t>
      </w:r>
      <w:r w:rsidRPr="00155F76">
        <w:t xml:space="preserve"> </w:t>
      </w:r>
      <w:r>
        <w:t xml:space="preserve">ansiotason muutoksen mukaan. Tästä syntyi ongelma julkisen puolen eläkkeissä: ne nousivat nopeasti yli samaa virkaa hoitavan henkilön palkan. </w:t>
      </w:r>
    </w:p>
    <w:p w14:paraId="6B178EF9" w14:textId="6711BD40" w:rsidR="00BF0E84" w:rsidRDefault="00BF0E84">
      <w:r>
        <w:t xml:space="preserve">1977 </w:t>
      </w:r>
      <w:r>
        <w:br/>
        <w:t>Eläketurva sidottiin ns. puoliväli-indeksiin: 50 % palkkoje</w:t>
      </w:r>
      <w:r w:rsidR="00FB32D2">
        <w:t>n, 50 % kuluttajahintojen muutoksen mukaan</w:t>
      </w:r>
      <w:r>
        <w:t xml:space="preserve">. </w:t>
      </w:r>
    </w:p>
    <w:p w14:paraId="52704DD9" w14:textId="288037CD" w:rsidR="00BF0E84" w:rsidRDefault="00BF0E84">
      <w:r>
        <w:t>1996</w:t>
      </w:r>
      <w:r>
        <w:br/>
        <w:t>Käyttöön ns. taitettu indeksi. Palkat ja alle 65-vuotiaiden eläkkeet yhä puoliväli-indeksissä, yli 65-vuotiaiden eläkkeet eläkeikäisen indeksissä. Siinä kuluttajahinnat 80 %, ansiotasoindeksi 20 %.</w:t>
      </w:r>
    </w:p>
    <w:p w14:paraId="63F22821" w14:textId="58BB9101" w:rsidR="00BF0E84" w:rsidRDefault="00BF0E84" w:rsidP="00BF0E84">
      <w:r>
        <w:t>2005</w:t>
      </w:r>
      <w:r>
        <w:br/>
        <w:t>Työeläkeindeksi käyttöön. Kaikki maksussa olevat eläkkeet iästä riippumatta sidottiin entiseen eläkeikäisen indeksiin, joka nimettiin työeläkeindeksiksi. Indeksissä kuluttajahintojen muutoksen paino 80 %, ansioiden muutoksen 20 %.</w:t>
      </w:r>
    </w:p>
    <w:p w14:paraId="7DA8532D" w14:textId="55ADA7B2" w:rsidR="00BF0E84" w:rsidRDefault="00337852">
      <w:r>
        <w:t>Lähde: Eläketurvakeskus, STM</w:t>
      </w:r>
    </w:p>
    <w:p w14:paraId="452D358B" w14:textId="6A0650E6" w:rsidR="00BF0E84" w:rsidRDefault="00BF0E84"/>
    <w:sectPr w:rsidR="00BF0E8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071D"/>
    <w:multiLevelType w:val="hybridMultilevel"/>
    <w:tmpl w:val="AF864DA2"/>
    <w:lvl w:ilvl="0" w:tplc="954028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696C"/>
    <w:multiLevelType w:val="hybridMultilevel"/>
    <w:tmpl w:val="4DDEBA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5CE0"/>
    <w:multiLevelType w:val="hybridMultilevel"/>
    <w:tmpl w:val="B54246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64"/>
    <w:rsid w:val="000345DC"/>
    <w:rsid w:val="00074787"/>
    <w:rsid w:val="00155F76"/>
    <w:rsid w:val="00187B51"/>
    <w:rsid w:val="001D1E8A"/>
    <w:rsid w:val="001F6FC9"/>
    <w:rsid w:val="00253F6D"/>
    <w:rsid w:val="002A23E8"/>
    <w:rsid w:val="002D05F6"/>
    <w:rsid w:val="00337852"/>
    <w:rsid w:val="00364C2F"/>
    <w:rsid w:val="003A4DE0"/>
    <w:rsid w:val="003A6723"/>
    <w:rsid w:val="003F2CF7"/>
    <w:rsid w:val="00450D97"/>
    <w:rsid w:val="00496086"/>
    <w:rsid w:val="004B3F98"/>
    <w:rsid w:val="004D2E1D"/>
    <w:rsid w:val="0051181A"/>
    <w:rsid w:val="0053030E"/>
    <w:rsid w:val="005E4E92"/>
    <w:rsid w:val="005F4A64"/>
    <w:rsid w:val="00627419"/>
    <w:rsid w:val="0063575D"/>
    <w:rsid w:val="00715798"/>
    <w:rsid w:val="00745CAB"/>
    <w:rsid w:val="007651B6"/>
    <w:rsid w:val="007F666C"/>
    <w:rsid w:val="00804DE1"/>
    <w:rsid w:val="00830347"/>
    <w:rsid w:val="008318B5"/>
    <w:rsid w:val="00832858"/>
    <w:rsid w:val="00845F11"/>
    <w:rsid w:val="008520F1"/>
    <w:rsid w:val="0085786A"/>
    <w:rsid w:val="008C65F1"/>
    <w:rsid w:val="008D5CD0"/>
    <w:rsid w:val="009F3E09"/>
    <w:rsid w:val="00A02E01"/>
    <w:rsid w:val="00A246F6"/>
    <w:rsid w:val="00A327D9"/>
    <w:rsid w:val="00A54687"/>
    <w:rsid w:val="00AE7170"/>
    <w:rsid w:val="00BA6556"/>
    <w:rsid w:val="00BE7046"/>
    <w:rsid w:val="00BF0E84"/>
    <w:rsid w:val="00C01DD2"/>
    <w:rsid w:val="00C103B0"/>
    <w:rsid w:val="00C738DA"/>
    <w:rsid w:val="00CF31B5"/>
    <w:rsid w:val="00D44746"/>
    <w:rsid w:val="00D539CC"/>
    <w:rsid w:val="00D71032"/>
    <w:rsid w:val="00E24100"/>
    <w:rsid w:val="00E61BCD"/>
    <w:rsid w:val="00EC4EAE"/>
    <w:rsid w:val="00EF7F32"/>
    <w:rsid w:val="00F03EC1"/>
    <w:rsid w:val="00F23464"/>
    <w:rsid w:val="00F36D09"/>
    <w:rsid w:val="00F81CD3"/>
    <w:rsid w:val="00FB014D"/>
    <w:rsid w:val="00FB32D2"/>
    <w:rsid w:val="00FB5859"/>
    <w:rsid w:val="00F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2DFA"/>
  <w15:chartTrackingRefBased/>
  <w15:docId w15:val="{711E6930-41C6-44B5-BAD6-BCBB75BD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5F11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15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08b4c2-5760-49a6-901a-6f5fffdd6222">
      <Value>1595</Value>
      <Value>116</Value>
      <Value>932</Value>
    </TaxCatchAll>
    <id7d33b7eb1940669d6fb7c47074d709 xmlns="ed08b4c2-5760-49a6-901a-6f5fffdd6222">
      <Terms xmlns="http://schemas.microsoft.com/office/infopath/2007/PartnerControls">
        <TermInfo xmlns="http://schemas.microsoft.com/office/infopath/2007/PartnerControls">
          <TermName>Työeläkejärjestelmä</TermName>
          <TermId>0cc52de2-2df6-4c52-9ba1-c01f8e8fc3db</TermId>
        </TermInfo>
      </Terms>
    </id7d33b7eb1940669d6fb7c47074d709>
    <TaxKeywordTaxHTField xmlns="ed08b4c2-5760-49a6-901a-6f5fffdd6222">
      <Terms xmlns="http://schemas.microsoft.com/office/infopath/2007/PartnerControls">
        <TermInfo xmlns="http://schemas.microsoft.com/office/infopath/2007/PartnerControls">
          <TermName>#indeksi</TermName>
          <TermId>197d302e-8027-4f81-bcb7-1004272e99d1</TermId>
        </TermInfo>
      </Terms>
    </TaxKeywordTaxHTField>
    <o18e9b28434248c0a6ad2d3a16906809 xmlns="ed08b4c2-5760-49a6-901a-6f5fffdd6222">
      <Terms xmlns="http://schemas.microsoft.com/office/infopath/2007/PartnerControls">
        <TermInfo xmlns="http://schemas.microsoft.com/office/infopath/2007/PartnerControls">
          <TermName>Artikkeli</TermName>
          <TermId>d9b195d0-1b71-46ad-bf2c-505d826ba032</TermId>
        </TermInfo>
      </Terms>
    </o18e9b28434248c0a6ad2d3a1690680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la yleinen" ma:contentTypeID="0x0101002BB5DF55638A094EB0DDDF5B9D3D35F5170082F4975DDEC93F46AECD74C0861FF24B" ma:contentTypeVersion="7" ma:contentTypeDescription="" ma:contentTypeScope="" ma:versionID="d7d7e72e539e5f166d89b53b66ef884c">
  <xsd:schema xmlns:xsd="http://www.w3.org/2001/XMLSchema" xmlns:xs="http://www.w3.org/2001/XMLSchema" xmlns:p="http://schemas.microsoft.com/office/2006/metadata/properties" xmlns:ns2="ed08b4c2-5760-49a6-901a-6f5fffdd6222" targetNamespace="http://schemas.microsoft.com/office/2006/metadata/properties" ma:root="true" ma:fieldsID="498e665f522e5dae620b62dc2a27232b" ns2:_="">
    <xsd:import namespace="ed08b4c2-5760-49a6-901a-6f5fffdd6222"/>
    <xsd:element name="properties">
      <xsd:complexType>
        <xsd:sequence>
          <xsd:element name="documentManagement">
            <xsd:complexType>
              <xsd:all>
                <xsd:element ref="ns2:o18e9b28434248c0a6ad2d3a16906809" minOccurs="0"/>
                <xsd:element ref="ns2:TaxCatchAll" minOccurs="0"/>
                <xsd:element ref="ns2:TaxCatchAllLabel" minOccurs="0"/>
                <xsd:element ref="ns2:id7d33b7eb1940669d6fb7c47074d709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b4c2-5760-49a6-901a-6f5fffdd6222" elementFormDefault="qualified">
    <xsd:import namespace="http://schemas.microsoft.com/office/2006/documentManagement/types"/>
    <xsd:import namespace="http://schemas.microsoft.com/office/infopath/2007/PartnerControls"/>
    <xsd:element name="o18e9b28434248c0a6ad2d3a16906809" ma:index="8" ma:taxonomy="true" ma:internalName="o18e9b28434248c0a6ad2d3a16906809" ma:taxonomyFieldName="Asiakirjatyyppi" ma:displayName="Asiakirjatyyppi" ma:default="" ma:fieldId="{818e9b28-4342-48c0-a6ad-2d3a16906809}" ma:sspId="a325ba61-116c-4d7c-9c25-2c1b148ea2fa" ma:termSetId="54cdfef6-2af1-4cae-bd2d-8a4940d3f0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7f2521e-5570-4961-8877-846fb5398d99}" ma:internalName="TaxCatchAll" ma:showField="CatchAllData" ma:web="87c26830-956f-49e1-8c54-c762472d8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7f2521e-5570-4961-8877-846fb5398d99}" ma:internalName="TaxCatchAllLabel" ma:readOnly="true" ma:showField="CatchAllDataLabel" ma:web="87c26830-956f-49e1-8c54-c762472d8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7d33b7eb1940669d6fb7c47074d709" ma:index="12" ma:taxonomy="true" ma:internalName="id7d33b7eb1940669d6fb7c47074d709" ma:taxonomyFieldName="Asiakokonaisuus" ma:displayName="Asiakokonaisuus" ma:default="35;#Yleinen|4ee43028-0df8-4956-b125-d9af33313356" ma:fieldId="{2d7d33b7-eb19-4066-9d6f-b7c47074d709}" ma:sspId="a325ba61-116c-4d7c-9c25-2c1b148ea2fa" ma:termSetId="ee5f4837-53fa-4938-b3cb-2fe2dde024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Yrityksen avainsanat" ma:fieldId="{23f27201-bee3-471e-b2e7-b64fd8b7ca38}" ma:taxonomyMulti="true" ma:sspId="a325ba61-116c-4d7c-9c25-2c1b148ea2f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325ba61-116c-4d7c-9c25-2c1b148ea2fa" ContentTypeId="0x0101002BB5DF55638A094EB0DDDF5B9D3D35F517" PreviousValue="false"/>
</file>

<file path=customXml/itemProps1.xml><?xml version="1.0" encoding="utf-8"?>
<ds:datastoreItem xmlns:ds="http://schemas.openxmlformats.org/officeDocument/2006/customXml" ds:itemID="{F887DA6A-5D62-4FCE-A306-D0CFF0399C7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7B8FC29-A7F2-465D-803E-86160355759B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ed08b4c2-5760-49a6-901a-6f5fffdd6222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A080D5-3E41-4745-86FB-36674A7CE5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B27D-F763-4C73-8044-61A38C16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b4c2-5760-49a6-901a-6f5fffdd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300E95-648A-4EE5-9977-CF06B39198B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7910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Gullman</dc:creator>
  <cp:keywords>#indeksi</cp:keywords>
  <dc:description/>
  <cp:lastModifiedBy>Sirkka Minna</cp:lastModifiedBy>
  <cp:revision>2</cp:revision>
  <dcterms:created xsi:type="dcterms:W3CDTF">2016-02-22T09:44:00Z</dcterms:created>
  <dcterms:modified xsi:type="dcterms:W3CDTF">2016-02-22T09:44:00Z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0x0101002BB5DF55638A094EB0DDDF5B9D3D35F5170082F4975DDEC93F46AECD74C0861FF24B</vt:lpwstr>
  </property>
  <property fmtid="{D5CDD505-2E9C-101B-9397-08002B2CF9AE}" pid="3" name="TaxKeyword">
    <vt:lpwstr>1595;##indeksi|197d302e-8027-4f81-bcb7-1004272e99d1</vt:lpwstr>
  </property>
  <property fmtid="{D5CDD505-2E9C-101B-9397-08002B2CF9AE}" pid="4" name="Asiakirjatyyppi">
    <vt:lpwstr>116;#Artikkeli|d9b195d0-1b71-46ad-bf2c-505d826ba032</vt:lpwstr>
  </property>
  <property fmtid="{D5CDD505-2E9C-101B-9397-08002B2CF9AE}" pid="5" name="Asiakokonaisuus">
    <vt:lpwstr>932;#Työeläkejärjestelmä|0cc52de2-2df6-4c52-9ba1-c01f8e8fc3db</vt:lpwstr>
  </property>
</Properties>
</file>